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D0" w:rsidRDefault="005426D0" w:rsidP="00E57700">
      <w:pPr>
        <w:pStyle w:val="1"/>
        <w:spacing w:beforeLines="100" w:before="312" w:afterLines="100" w:after="312" w:line="360" w:lineRule="auto"/>
        <w:jc w:val="center"/>
        <w:rPr>
          <w:rFonts w:ascii="宋体" w:cs="宋体"/>
          <w:sz w:val="32"/>
          <w:szCs w:val="32"/>
          <w:lang w:val="zh-CN"/>
        </w:rPr>
      </w:pPr>
      <w:bookmarkStart w:id="0" w:name="_Toc15750"/>
      <w:bookmarkStart w:id="1" w:name="_Toc495178079"/>
      <w:r>
        <w:rPr>
          <w:rFonts w:hint="eastAsia"/>
          <w:sz w:val="32"/>
          <w:szCs w:val="32"/>
        </w:rPr>
        <w:t>恶</w:t>
      </w:r>
      <w:proofErr w:type="gramStart"/>
      <w:r>
        <w:rPr>
          <w:rFonts w:hint="eastAsia"/>
          <w:sz w:val="32"/>
          <w:szCs w:val="32"/>
        </w:rPr>
        <w:t>虐</w:t>
      </w:r>
      <w:proofErr w:type="gramEnd"/>
      <w:r>
        <w:rPr>
          <w:rFonts w:hint="eastAsia"/>
          <w:sz w:val="32"/>
          <w:szCs w:val="32"/>
        </w:rPr>
        <w:t>性原虫</w:t>
      </w:r>
      <w:bookmarkEnd w:id="0"/>
      <w:bookmarkEnd w:id="1"/>
      <w:r w:rsidR="00ED0562">
        <w:rPr>
          <w:rFonts w:ascii="宋体" w:hAnsi="宋体" w:cs="宋体" w:hint="eastAsia"/>
          <w:sz w:val="32"/>
          <w:szCs w:val="32"/>
          <w:lang w:val="zh-CN"/>
        </w:rPr>
        <w:t>标准操作程序</w:t>
      </w:r>
      <w:r>
        <w:rPr>
          <w:rFonts w:ascii="宋体" w:hAnsi="宋体" w:cs="宋体" w:hint="eastAsia"/>
          <w:sz w:val="32"/>
          <w:szCs w:val="32"/>
          <w:lang w:val="zh-CN"/>
        </w:rPr>
        <w:t>目录</w:t>
      </w:r>
    </w:p>
    <w:tbl>
      <w:tblPr>
        <w:tblpPr w:leftFromText="180" w:rightFromText="180" w:vertAnchor="page" w:horzAnchor="margin" w:tblpY="3316"/>
        <w:tblW w:w="9180" w:type="dxa"/>
        <w:tblLayout w:type="fixed"/>
        <w:tblLook w:val="00A0" w:firstRow="1" w:lastRow="0" w:firstColumn="1" w:lastColumn="0" w:noHBand="0" w:noVBand="0"/>
      </w:tblPr>
      <w:tblGrid>
        <w:gridCol w:w="3085"/>
        <w:gridCol w:w="6095"/>
      </w:tblGrid>
      <w:tr w:rsidR="005426D0" w:rsidTr="00E57700">
        <w:tc>
          <w:tcPr>
            <w:tcW w:w="308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609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</w:tr>
      <w:tr w:rsidR="005426D0" w:rsidTr="00E57700">
        <w:tc>
          <w:tcPr>
            <w:tcW w:w="308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-326-01</w:t>
            </w:r>
          </w:p>
        </w:tc>
        <w:tc>
          <w:tcPr>
            <w:tcW w:w="609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恶</w:t>
            </w:r>
            <w:proofErr w:type="gramStart"/>
            <w:r>
              <w:rPr>
                <w:rFonts w:hint="eastAsia"/>
                <w:sz w:val="24"/>
              </w:rPr>
              <w:t>虐</w:t>
            </w:r>
            <w:proofErr w:type="gramEnd"/>
            <w:r>
              <w:rPr>
                <w:rFonts w:hint="eastAsia"/>
                <w:sz w:val="24"/>
              </w:rPr>
              <w:t>性原虫接收操作流程</w:t>
            </w:r>
          </w:p>
        </w:tc>
      </w:tr>
      <w:tr w:rsidR="005426D0" w:rsidTr="00E57700">
        <w:tc>
          <w:tcPr>
            <w:tcW w:w="308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-326-02</w:t>
            </w:r>
          </w:p>
        </w:tc>
        <w:tc>
          <w:tcPr>
            <w:tcW w:w="609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恶</w:t>
            </w:r>
            <w:proofErr w:type="gramStart"/>
            <w:r>
              <w:rPr>
                <w:rFonts w:hint="eastAsia"/>
                <w:sz w:val="24"/>
              </w:rPr>
              <w:t>虐</w:t>
            </w:r>
            <w:proofErr w:type="gramEnd"/>
            <w:r>
              <w:rPr>
                <w:rFonts w:hint="eastAsia"/>
                <w:sz w:val="24"/>
              </w:rPr>
              <w:t>性原虫收集操作程序</w:t>
            </w:r>
          </w:p>
        </w:tc>
      </w:tr>
      <w:tr w:rsidR="005426D0" w:rsidTr="00E57700">
        <w:tc>
          <w:tcPr>
            <w:tcW w:w="308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-326-03</w:t>
            </w:r>
          </w:p>
        </w:tc>
        <w:tc>
          <w:tcPr>
            <w:tcW w:w="609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恶</w:t>
            </w:r>
            <w:proofErr w:type="gramStart"/>
            <w:r>
              <w:rPr>
                <w:rFonts w:hint="eastAsia"/>
                <w:sz w:val="24"/>
              </w:rPr>
              <w:t>虐</w:t>
            </w:r>
            <w:proofErr w:type="gramEnd"/>
            <w:r>
              <w:rPr>
                <w:rFonts w:hint="eastAsia"/>
                <w:sz w:val="24"/>
              </w:rPr>
              <w:t>性原虫实验室内传递操作程序</w:t>
            </w:r>
          </w:p>
        </w:tc>
      </w:tr>
      <w:tr w:rsidR="005426D0" w:rsidTr="00E57700">
        <w:tc>
          <w:tcPr>
            <w:tcW w:w="308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-326-04</w:t>
            </w:r>
          </w:p>
        </w:tc>
        <w:tc>
          <w:tcPr>
            <w:tcW w:w="6095" w:type="dxa"/>
          </w:tcPr>
          <w:p w:rsidR="005426D0" w:rsidRDefault="00E57700">
            <w:pPr>
              <w:spacing w:line="360" w:lineRule="auto"/>
              <w:rPr>
                <w:sz w:val="24"/>
              </w:rPr>
            </w:pPr>
            <w:r w:rsidRPr="00E57700">
              <w:rPr>
                <w:rFonts w:hint="eastAsia"/>
                <w:sz w:val="24"/>
              </w:rPr>
              <w:t>恶性疟原虫复苏程序</w:t>
            </w:r>
          </w:p>
        </w:tc>
      </w:tr>
      <w:tr w:rsidR="005426D0" w:rsidTr="00E57700">
        <w:tc>
          <w:tcPr>
            <w:tcW w:w="308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-326-05</w:t>
            </w:r>
          </w:p>
        </w:tc>
        <w:tc>
          <w:tcPr>
            <w:tcW w:w="6095" w:type="dxa"/>
          </w:tcPr>
          <w:p w:rsidR="005426D0" w:rsidRDefault="00E57700">
            <w:pPr>
              <w:spacing w:line="360" w:lineRule="auto"/>
              <w:rPr>
                <w:sz w:val="24"/>
              </w:rPr>
            </w:pPr>
            <w:r w:rsidRPr="00E57700">
              <w:rPr>
                <w:rFonts w:hint="eastAsia"/>
                <w:sz w:val="24"/>
              </w:rPr>
              <w:t>恶性疟原虫鉴定保存操作程序</w:t>
            </w:r>
          </w:p>
        </w:tc>
      </w:tr>
      <w:tr w:rsidR="005426D0" w:rsidTr="00E57700">
        <w:tc>
          <w:tcPr>
            <w:tcW w:w="308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-326-06</w:t>
            </w:r>
          </w:p>
        </w:tc>
        <w:tc>
          <w:tcPr>
            <w:tcW w:w="6095" w:type="dxa"/>
          </w:tcPr>
          <w:p w:rsidR="005426D0" w:rsidRDefault="00E57700">
            <w:pPr>
              <w:spacing w:line="360" w:lineRule="auto"/>
              <w:rPr>
                <w:sz w:val="24"/>
              </w:rPr>
            </w:pPr>
            <w:r w:rsidRPr="00E57700">
              <w:rPr>
                <w:rFonts w:hint="eastAsia"/>
                <w:sz w:val="24"/>
              </w:rPr>
              <w:t>恶性疟原虫培养标准操作程序</w:t>
            </w:r>
          </w:p>
        </w:tc>
      </w:tr>
      <w:tr w:rsidR="005426D0" w:rsidTr="00E57700">
        <w:tc>
          <w:tcPr>
            <w:tcW w:w="308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-326-07</w:t>
            </w:r>
          </w:p>
        </w:tc>
        <w:tc>
          <w:tcPr>
            <w:tcW w:w="6095" w:type="dxa"/>
          </w:tcPr>
          <w:p w:rsidR="005426D0" w:rsidRDefault="00E577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恶</w:t>
            </w:r>
            <w:proofErr w:type="gramStart"/>
            <w:r>
              <w:rPr>
                <w:rFonts w:hint="eastAsia"/>
                <w:sz w:val="24"/>
              </w:rPr>
              <w:t>虐</w:t>
            </w:r>
            <w:proofErr w:type="gramEnd"/>
            <w:r>
              <w:rPr>
                <w:rFonts w:hint="eastAsia"/>
                <w:sz w:val="24"/>
              </w:rPr>
              <w:t>性原虫保藏质量控制</w:t>
            </w:r>
          </w:p>
        </w:tc>
      </w:tr>
      <w:tr w:rsidR="005426D0" w:rsidTr="00E57700">
        <w:tc>
          <w:tcPr>
            <w:tcW w:w="3085" w:type="dxa"/>
          </w:tcPr>
          <w:p w:rsidR="005426D0" w:rsidRDefault="005426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-326-08</w:t>
            </w:r>
          </w:p>
        </w:tc>
        <w:tc>
          <w:tcPr>
            <w:tcW w:w="6095" w:type="dxa"/>
          </w:tcPr>
          <w:p w:rsidR="005426D0" w:rsidRPr="00E57700" w:rsidRDefault="00E57700" w:rsidP="00E577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恶</w:t>
            </w:r>
            <w:proofErr w:type="gramStart"/>
            <w:r>
              <w:rPr>
                <w:rFonts w:hint="eastAsia"/>
                <w:sz w:val="24"/>
              </w:rPr>
              <w:t>虐</w:t>
            </w:r>
            <w:proofErr w:type="gramEnd"/>
            <w:r>
              <w:rPr>
                <w:rFonts w:hint="eastAsia"/>
                <w:sz w:val="24"/>
              </w:rPr>
              <w:t>性原虫实验人员防护要求标准操作程序</w:t>
            </w:r>
          </w:p>
        </w:tc>
      </w:tr>
      <w:tr w:rsidR="00E57700" w:rsidTr="00E57700">
        <w:tc>
          <w:tcPr>
            <w:tcW w:w="3085" w:type="dxa"/>
          </w:tcPr>
          <w:p w:rsidR="00E57700" w:rsidRDefault="00E57700" w:rsidP="00E577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-326-09</w:t>
            </w:r>
          </w:p>
        </w:tc>
        <w:tc>
          <w:tcPr>
            <w:tcW w:w="6095" w:type="dxa"/>
          </w:tcPr>
          <w:p w:rsidR="00E57700" w:rsidRDefault="00E57700" w:rsidP="00E577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恶</w:t>
            </w:r>
            <w:proofErr w:type="gramStart"/>
            <w:r>
              <w:rPr>
                <w:rFonts w:hint="eastAsia"/>
                <w:sz w:val="24"/>
              </w:rPr>
              <w:t>虐</w:t>
            </w:r>
            <w:proofErr w:type="gramEnd"/>
            <w:r>
              <w:rPr>
                <w:rFonts w:hint="eastAsia"/>
                <w:sz w:val="24"/>
              </w:rPr>
              <w:t>性原虫实验后清场及污物、废物处理标准操作程序</w:t>
            </w:r>
          </w:p>
        </w:tc>
      </w:tr>
      <w:tr w:rsidR="00E57700" w:rsidTr="00E57700">
        <w:tc>
          <w:tcPr>
            <w:tcW w:w="3085" w:type="dxa"/>
          </w:tcPr>
          <w:p w:rsidR="00E57700" w:rsidRDefault="00E57700" w:rsidP="00E577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-326-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095" w:type="dxa"/>
          </w:tcPr>
          <w:p w:rsidR="00E57700" w:rsidRDefault="00E57700" w:rsidP="00E577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恶</w:t>
            </w:r>
            <w:proofErr w:type="gramStart"/>
            <w:r>
              <w:rPr>
                <w:rFonts w:hint="eastAsia"/>
                <w:sz w:val="24"/>
              </w:rPr>
              <w:t>虐</w:t>
            </w:r>
            <w:proofErr w:type="gramEnd"/>
            <w:r>
              <w:rPr>
                <w:rFonts w:hint="eastAsia"/>
                <w:sz w:val="24"/>
              </w:rPr>
              <w:t>性原虫实验意外事故处理标准操作程序</w:t>
            </w:r>
          </w:p>
        </w:tc>
      </w:tr>
    </w:tbl>
    <w:p w:rsidR="005426D0" w:rsidRDefault="005426D0" w:rsidP="00E57700">
      <w:pPr>
        <w:spacing w:line="360" w:lineRule="auto"/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Default="00B8233C" w:rsidP="00B8233C">
      <w:pPr>
        <w:tabs>
          <w:tab w:val="left" w:pos="797"/>
        </w:tabs>
        <w:rPr>
          <w:sz w:val="24"/>
        </w:rPr>
        <w:sectPr w:rsidR="00B8233C" w:rsidSect="00EC7EF1">
          <w:headerReference w:type="default" r:id="rId6"/>
          <w:footerReference w:type="default" r:id="rId7"/>
          <w:headerReference w:type="first" r:id="rId8"/>
          <w:pgSz w:w="11906" w:h="16838"/>
          <w:pgMar w:top="1440" w:right="1418" w:bottom="1440" w:left="1797" w:header="851" w:footer="992" w:gutter="0"/>
          <w:cols w:space="425"/>
          <w:docGrid w:type="lines" w:linePitch="312"/>
        </w:sectPr>
      </w:pPr>
      <w:r>
        <w:rPr>
          <w:sz w:val="24"/>
        </w:rPr>
        <w:tab/>
      </w:r>
    </w:p>
    <w:p w:rsidR="00B8233C" w:rsidRDefault="00B8233C" w:rsidP="00B8233C">
      <w:pPr>
        <w:spacing w:before="260" w:after="26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恶性疟原虫</w:t>
      </w:r>
      <w:r>
        <w:rPr>
          <w:b/>
          <w:sz w:val="32"/>
          <w:szCs w:val="32"/>
        </w:rPr>
        <w:t>接收操作流程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目的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明确</w:t>
      </w:r>
      <w:r>
        <w:rPr>
          <w:rFonts w:hint="eastAsia"/>
          <w:sz w:val="24"/>
        </w:rPr>
        <w:t>恶性</w:t>
      </w:r>
      <w:proofErr w:type="gramStart"/>
      <w:r>
        <w:rPr>
          <w:rFonts w:hint="eastAsia"/>
          <w:sz w:val="24"/>
        </w:rPr>
        <w:t>虐</w:t>
      </w:r>
      <w:proofErr w:type="gramEnd"/>
      <w:r>
        <w:rPr>
          <w:rFonts w:hint="eastAsia"/>
          <w:sz w:val="24"/>
        </w:rPr>
        <w:t>原虫</w:t>
      </w:r>
      <w:r>
        <w:rPr>
          <w:sz w:val="24"/>
        </w:rPr>
        <w:t>接收相关实验技术的操作。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适用范围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适用于进行</w:t>
      </w:r>
      <w:r>
        <w:rPr>
          <w:rFonts w:hint="eastAsia"/>
          <w:sz w:val="24"/>
        </w:rPr>
        <w:t>恶性疟原虫</w:t>
      </w:r>
      <w:r>
        <w:rPr>
          <w:sz w:val="24"/>
        </w:rPr>
        <w:t>接收的相关实验人员。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防护要求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3.1 BSL-</w:t>
      </w:r>
      <w:r>
        <w:rPr>
          <w:rFonts w:hint="eastAsia"/>
          <w:sz w:val="24"/>
        </w:rPr>
        <w:t>2</w:t>
      </w:r>
      <w:r>
        <w:rPr>
          <w:sz w:val="24"/>
        </w:rPr>
        <w:t>实验室。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3.2</w:t>
      </w:r>
      <w:r>
        <w:rPr>
          <w:sz w:val="24"/>
        </w:rPr>
        <w:t>实验人员穿着合适的防护装备：一次性帽子、医用防护口罩、一次性手套、防护服、鞋套。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包装要求</w:t>
      </w:r>
    </w:p>
    <w:p w:rsidR="00B8233C" w:rsidRDefault="00B8233C" w:rsidP="00B8233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恶性疟原虫</w:t>
      </w:r>
      <w:r>
        <w:rPr>
          <w:sz w:val="24"/>
        </w:rPr>
        <w:t>培养物应采取</w:t>
      </w:r>
      <w:r>
        <w:rPr>
          <w:rFonts w:hint="eastAsia"/>
          <w:sz w:val="24"/>
        </w:rPr>
        <w:t>B</w:t>
      </w:r>
      <w:r>
        <w:rPr>
          <w:sz w:val="24"/>
        </w:rPr>
        <w:t>类感染性物质运输包装。</w:t>
      </w:r>
      <w:r>
        <w:rPr>
          <w:rFonts w:hint="eastAsia"/>
          <w:bCs/>
          <w:sz w:val="24"/>
        </w:rPr>
        <w:t>检查样品外包装材料应满足生物安全防护的要求，应密封，防水、防破损、防外泄。具体要求应满足《微生物菌种资源收集、整理、保存技术规程汇编》相关内容，最外层的容器或包装材料上应具备生物危险标签、标识、运输登记表、警告用语和提示用语。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>5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>信息要求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5.1</w:t>
      </w:r>
      <w:r>
        <w:rPr>
          <w:sz w:val="24"/>
        </w:rPr>
        <w:t>样本保存时进行登记备案，记录毒株名称、数量、提供单位、毒株来源、状态、接收日期、毒株编号等。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5.2</w:t>
      </w:r>
      <w:r>
        <w:rPr>
          <w:rFonts w:hint="eastAsia"/>
          <w:sz w:val="24"/>
        </w:rPr>
        <w:t>虫体</w:t>
      </w:r>
      <w:r>
        <w:rPr>
          <w:sz w:val="24"/>
        </w:rPr>
        <w:t>保存管上应有牢固的标签，标明样本名称、代次、批号、传代日期等。固定的标签或标牌应可耐受水汽浸泡或超低温冷冻，始终保持标注的内容清晰可辨。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5.3 </w:t>
      </w:r>
      <w:r>
        <w:rPr>
          <w:sz w:val="24"/>
        </w:rPr>
        <w:t>进行保存的样本应至少保存</w:t>
      </w:r>
      <w:r>
        <w:rPr>
          <w:sz w:val="24"/>
        </w:rPr>
        <w:t>2</w:t>
      </w:r>
      <w:r>
        <w:rPr>
          <w:sz w:val="24"/>
        </w:rPr>
        <w:t>份，一份供定期移种或传代，一份</w:t>
      </w:r>
      <w:proofErr w:type="gramStart"/>
      <w:r>
        <w:rPr>
          <w:sz w:val="24"/>
        </w:rPr>
        <w:t>供经常</w:t>
      </w:r>
      <w:proofErr w:type="gramEnd"/>
      <w:r>
        <w:rPr>
          <w:sz w:val="24"/>
        </w:rPr>
        <w:t>移种或传代用，传代时间、</w:t>
      </w:r>
      <w:proofErr w:type="gramStart"/>
      <w:r>
        <w:rPr>
          <w:sz w:val="24"/>
        </w:rPr>
        <w:t>代次均须</w:t>
      </w:r>
      <w:proofErr w:type="gramEnd"/>
      <w:r>
        <w:rPr>
          <w:sz w:val="24"/>
        </w:rPr>
        <w:t>详细记录。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5.4 </w:t>
      </w:r>
      <w:r>
        <w:rPr>
          <w:sz w:val="24"/>
        </w:rPr>
        <w:t>保存的样本传代或冻存均应填写专用记录。每年对样本进行整理，核查。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5.5 </w:t>
      </w:r>
      <w:r>
        <w:rPr>
          <w:sz w:val="24"/>
        </w:rPr>
        <w:t>对新引进的样本，至少备份</w:t>
      </w:r>
      <w:r>
        <w:rPr>
          <w:sz w:val="24"/>
        </w:rPr>
        <w:t>2</w:t>
      </w:r>
      <w:r>
        <w:rPr>
          <w:sz w:val="24"/>
        </w:rPr>
        <w:t>份，分别储存在两个适宜贮存条件的专用区，以防因设备故障导致样本的变异和死亡。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>操</w:t>
      </w:r>
      <w:r>
        <w:rPr>
          <w:rFonts w:hint="eastAsia"/>
          <w:b/>
          <w:sz w:val="24"/>
        </w:rPr>
        <w:t>作</w:t>
      </w:r>
      <w:r>
        <w:rPr>
          <w:b/>
          <w:sz w:val="24"/>
        </w:rPr>
        <w:t>步骤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6.1 </w:t>
      </w:r>
      <w:r>
        <w:rPr>
          <w:sz w:val="24"/>
        </w:rPr>
        <w:t>检查包装，如完好，将样本包装箱通过传递窗送入</w:t>
      </w:r>
      <w:r>
        <w:rPr>
          <w:sz w:val="24"/>
        </w:rPr>
        <w:t>BSL-</w:t>
      </w:r>
      <w:r>
        <w:rPr>
          <w:rFonts w:hint="eastAsia"/>
          <w:sz w:val="24"/>
        </w:rPr>
        <w:t>2</w:t>
      </w:r>
      <w:r>
        <w:rPr>
          <w:sz w:val="24"/>
        </w:rPr>
        <w:t>实验室，并将样本清单传真入实验室；如有破损，应立即报告</w:t>
      </w:r>
      <w:r>
        <w:rPr>
          <w:rFonts w:hint="eastAsia"/>
          <w:sz w:val="24"/>
        </w:rPr>
        <w:t>生物安全员</w:t>
      </w:r>
      <w:r>
        <w:rPr>
          <w:sz w:val="24"/>
        </w:rPr>
        <w:t>，由</w:t>
      </w:r>
      <w:r>
        <w:rPr>
          <w:rFonts w:hint="eastAsia"/>
          <w:sz w:val="24"/>
        </w:rPr>
        <w:t>生物安全员</w:t>
      </w:r>
      <w:r>
        <w:rPr>
          <w:sz w:val="24"/>
        </w:rPr>
        <w:t>评估后决定处理措施。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6.2 </w:t>
      </w:r>
      <w:r>
        <w:rPr>
          <w:sz w:val="24"/>
        </w:rPr>
        <w:t>样本二级包装应在生物安全柜中打开，检查标本完整性和保存状态，按清单清点样本种类、数量和性状，记录并签字确认。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6.3 </w:t>
      </w:r>
      <w:r>
        <w:rPr>
          <w:sz w:val="24"/>
        </w:rPr>
        <w:t>根据样本性质和检验目的，样本打开后应及时进行检测。不能立即检测的，应放入专用容器中，储存在指定的位置。若内包装已破损，应决定样本是否尚能挽救，并采取规定方法立即进行检验。无法挽救者，进行销毁并做好记录。撤除的包装一并放入医用废物袋中统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进行销毁。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6.4</w:t>
      </w:r>
      <w:r>
        <w:rPr>
          <w:sz w:val="24"/>
        </w:rPr>
        <w:t>若为培养物，应及时进行转种，进行必要的鉴定并转化成保存状态。每份培养物都必须登记增殖数量、分装支数、鉴定结果和鉴定后培养物的销毁时间。若不能立即转种，应登记后将原培养物储存在菌毒种保藏分中心指定位置。如果培养皿或试管已破损，应决定是否尚能挽救，并及时进行转种。无法挽救者，进行销毁并做好记录。撤除的包装一并放入医用废物袋中统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进行销毁。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6.5 </w:t>
      </w:r>
      <w:r>
        <w:rPr>
          <w:sz w:val="24"/>
        </w:rPr>
        <w:t>实验室内样本和培养物的取放都应按规定置于专用容器内，才能取出生物安全柜，放入冰箱、培养箱或其他指定位置。</w:t>
      </w:r>
    </w:p>
    <w:p w:rsidR="00B8233C" w:rsidRDefault="00B8233C" w:rsidP="00B8233C">
      <w:pPr>
        <w:spacing w:line="360" w:lineRule="auto"/>
        <w:ind w:left="1"/>
        <w:rPr>
          <w:sz w:val="24"/>
        </w:rPr>
      </w:pPr>
      <w:r>
        <w:rPr>
          <w:sz w:val="24"/>
        </w:rPr>
        <w:t>6.6</w:t>
      </w:r>
      <w:r>
        <w:rPr>
          <w:sz w:val="24"/>
        </w:rPr>
        <w:t>实验结束后，</w:t>
      </w:r>
      <w:r>
        <w:rPr>
          <w:rFonts w:hint="eastAsia"/>
          <w:sz w:val="24"/>
        </w:rPr>
        <w:t>及时清理生物安全柜内的物品，用</w:t>
      </w:r>
      <w:r>
        <w:rPr>
          <w:rFonts w:hint="eastAsia"/>
          <w:sz w:val="24"/>
        </w:rPr>
        <w:t>75</w:t>
      </w:r>
      <w:r>
        <w:rPr>
          <w:rFonts w:hint="eastAsia"/>
          <w:sz w:val="24"/>
        </w:rPr>
        <w:t>％酒精擦拭外表面后，移出生物安全柜放入冰箱中。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文件支持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7.1 </w:t>
      </w:r>
      <w:r>
        <w:rPr>
          <w:sz w:val="24"/>
        </w:rPr>
        <w:t>《设施设备标准操作程序》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7.2  WHO</w:t>
      </w:r>
      <w:r>
        <w:rPr>
          <w:sz w:val="24"/>
        </w:rPr>
        <w:t>《生物安全手册》第三版（</w:t>
      </w:r>
      <w:r>
        <w:rPr>
          <w:sz w:val="24"/>
        </w:rPr>
        <w:t>2004</w:t>
      </w:r>
      <w:r>
        <w:rPr>
          <w:sz w:val="24"/>
        </w:rPr>
        <w:t>）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7.3</w:t>
      </w:r>
      <w:r>
        <w:rPr>
          <w:rFonts w:hint="eastAsia"/>
          <w:sz w:val="24"/>
        </w:rPr>
        <w:t xml:space="preserve"> </w:t>
      </w:r>
      <w:r>
        <w:rPr>
          <w:sz w:val="24"/>
        </w:rPr>
        <w:t>《病原微生物实验室生物安全管理条例》国务院</w:t>
      </w:r>
      <w:r>
        <w:rPr>
          <w:sz w:val="24"/>
        </w:rPr>
        <w:t>424</w:t>
      </w:r>
      <w:r>
        <w:rPr>
          <w:sz w:val="24"/>
        </w:rPr>
        <w:t>号（</w:t>
      </w:r>
      <w:r>
        <w:rPr>
          <w:sz w:val="24"/>
        </w:rPr>
        <w:t>2004</w:t>
      </w:r>
      <w:r>
        <w:rPr>
          <w:sz w:val="24"/>
        </w:rPr>
        <w:t>）</w:t>
      </w:r>
    </w:p>
    <w:p w:rsidR="00B8233C" w:rsidRDefault="00B8233C" w:rsidP="00B8233C">
      <w:pPr>
        <w:spacing w:line="360" w:lineRule="auto"/>
        <w:rPr>
          <w:rFonts w:hint="eastAsia"/>
          <w:sz w:val="24"/>
        </w:rPr>
      </w:pPr>
      <w:r>
        <w:rPr>
          <w:sz w:val="24"/>
        </w:rPr>
        <w:t>7.4</w:t>
      </w:r>
      <w:r>
        <w:rPr>
          <w:rFonts w:hint="eastAsia"/>
          <w:sz w:val="24"/>
        </w:rPr>
        <w:t xml:space="preserve"> </w:t>
      </w:r>
      <w:r>
        <w:rPr>
          <w:sz w:val="24"/>
        </w:rPr>
        <w:t>《实验室生物安全通用要求》</w:t>
      </w:r>
      <w:r>
        <w:rPr>
          <w:sz w:val="24"/>
        </w:rPr>
        <w:t xml:space="preserve"> GB 19489-2008</w:t>
      </w:r>
    </w:p>
    <w:p w:rsidR="00B8233C" w:rsidRDefault="00B8233C" w:rsidP="00B8233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7.</w:t>
      </w:r>
      <w:r>
        <w:rPr>
          <w:sz w:val="24"/>
        </w:rPr>
        <w:t>5</w:t>
      </w:r>
      <w:r>
        <w:rPr>
          <w:rFonts w:hint="eastAsia"/>
          <w:sz w:val="24"/>
        </w:rPr>
        <w:t xml:space="preserve"> </w:t>
      </w:r>
      <w:r>
        <w:rPr>
          <w:sz w:val="24"/>
        </w:rPr>
        <w:t>《</w:t>
      </w:r>
      <w:r>
        <w:rPr>
          <w:sz w:val="24"/>
        </w:rPr>
        <w:t>BSL-2</w:t>
      </w:r>
      <w:r>
        <w:rPr>
          <w:sz w:val="24"/>
        </w:rPr>
        <w:t>实验室管理规范》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rFonts w:hint="eastAsia"/>
          <w:sz w:val="24"/>
        </w:rPr>
        <w:t>7.7</w:t>
      </w:r>
      <w:proofErr w:type="gramStart"/>
      <w:r>
        <w:rPr>
          <w:rFonts w:hint="eastAsia"/>
          <w:sz w:val="24"/>
        </w:rPr>
        <w:t>吴观陵主编</w:t>
      </w:r>
      <w:proofErr w:type="gramEnd"/>
      <w:r>
        <w:rPr>
          <w:rFonts w:hint="eastAsia"/>
          <w:sz w:val="24"/>
        </w:rPr>
        <w:t>，《人体寄生虫学》，人民卫生出版社，</w:t>
      </w:r>
      <w:r>
        <w:rPr>
          <w:rFonts w:hint="eastAsia"/>
          <w:sz w:val="24"/>
        </w:rPr>
        <w:t xml:space="preserve"> 2005</w:t>
      </w:r>
      <w:r>
        <w:rPr>
          <w:rFonts w:hint="eastAsia"/>
          <w:sz w:val="24"/>
        </w:rPr>
        <w:t>年，第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版。</w:t>
      </w:r>
    </w:p>
    <w:p w:rsidR="00B8233C" w:rsidRPr="00B8233C" w:rsidRDefault="00B8233C" w:rsidP="00B8233C">
      <w:pPr>
        <w:tabs>
          <w:tab w:val="left" w:pos="797"/>
        </w:tabs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sz w:val="24"/>
        </w:rPr>
      </w:pPr>
    </w:p>
    <w:p w:rsidR="00B8233C" w:rsidRPr="00B8233C" w:rsidRDefault="00B8233C" w:rsidP="00B8233C">
      <w:pPr>
        <w:rPr>
          <w:rFonts w:hint="eastAsia"/>
          <w:sz w:val="24"/>
        </w:rPr>
      </w:pPr>
    </w:p>
    <w:p w:rsidR="00B8233C" w:rsidRDefault="00B8233C" w:rsidP="00B8233C">
      <w:pPr>
        <w:rPr>
          <w:sz w:val="24"/>
        </w:rPr>
        <w:sectPr w:rsidR="00B8233C" w:rsidSect="00B8233C">
          <w:headerReference w:type="default" r:id="rId9"/>
          <w:headerReference w:type="first" r:id="rId10"/>
          <w:pgSz w:w="11906" w:h="16838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:rsidR="00B8233C" w:rsidRDefault="00B8233C" w:rsidP="00B8233C">
      <w:pPr>
        <w:spacing w:before="260" w:after="260" w:line="3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恶性疟原虫收集程序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1  </w:t>
      </w:r>
      <w:r>
        <w:rPr>
          <w:b/>
          <w:sz w:val="24"/>
        </w:rPr>
        <w:t>目的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明确</w:t>
      </w:r>
      <w:r>
        <w:rPr>
          <w:rFonts w:hint="eastAsia"/>
          <w:sz w:val="24"/>
        </w:rPr>
        <w:t>恶性疟原虫</w:t>
      </w:r>
      <w:r>
        <w:rPr>
          <w:sz w:val="24"/>
        </w:rPr>
        <w:t>收集的相关实验技术的操作。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2  </w:t>
      </w:r>
      <w:r>
        <w:rPr>
          <w:b/>
          <w:sz w:val="24"/>
        </w:rPr>
        <w:t>适用范围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适用于进行</w:t>
      </w:r>
      <w:r>
        <w:rPr>
          <w:rFonts w:hint="eastAsia"/>
          <w:sz w:val="24"/>
        </w:rPr>
        <w:t>恶性疟原虫</w:t>
      </w:r>
      <w:r>
        <w:rPr>
          <w:sz w:val="24"/>
        </w:rPr>
        <w:t>收集的相关实验人员。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3  </w:t>
      </w:r>
      <w:r>
        <w:rPr>
          <w:b/>
          <w:sz w:val="24"/>
        </w:rPr>
        <w:t>防护要求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3.1 BSL-</w:t>
      </w:r>
      <w:r>
        <w:rPr>
          <w:rFonts w:hint="eastAsia"/>
          <w:sz w:val="24"/>
        </w:rPr>
        <w:t>2</w:t>
      </w:r>
      <w:r>
        <w:rPr>
          <w:sz w:val="24"/>
        </w:rPr>
        <w:t>生物实验室。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3.2 </w:t>
      </w:r>
      <w:r>
        <w:rPr>
          <w:sz w:val="24"/>
        </w:rPr>
        <w:t>实验人员穿着合适的防护装备：一次性帽子、医用防护口罩、一次性手套、防护服、鞋套。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4  </w:t>
      </w:r>
      <w:r>
        <w:rPr>
          <w:b/>
          <w:sz w:val="24"/>
        </w:rPr>
        <w:t>包装要求</w:t>
      </w:r>
    </w:p>
    <w:p w:rsidR="00B8233C" w:rsidRDefault="00B8233C" w:rsidP="00B8233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恶性疟原虫培养物应采取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类感染性物质运输包装。包装外应印有规定的生物危险标签、标识、运输登记表、警告用语和提示用语。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5  </w:t>
      </w:r>
      <w:r>
        <w:rPr>
          <w:b/>
          <w:sz w:val="24"/>
        </w:rPr>
        <w:t>信息要求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5.1 </w:t>
      </w:r>
      <w:r>
        <w:rPr>
          <w:sz w:val="24"/>
        </w:rPr>
        <w:t>毒株采用种子批系统。原始种子批（</w:t>
      </w:r>
      <w:r>
        <w:rPr>
          <w:sz w:val="24"/>
        </w:rPr>
        <w:t>Primary seed Lot</w:t>
      </w:r>
      <w:r>
        <w:rPr>
          <w:sz w:val="24"/>
        </w:rPr>
        <w:t>）应验明其记录、历史、来源和生物学特性。从原始种子批传代、扩增后保存的为主种子批（</w:t>
      </w:r>
      <w:r>
        <w:rPr>
          <w:sz w:val="24"/>
        </w:rPr>
        <w:t>Master seed Lot</w:t>
      </w:r>
      <w:r>
        <w:rPr>
          <w:sz w:val="24"/>
        </w:rPr>
        <w:t>）从主种子批传代、扩增后保存的为工作种子批（</w:t>
      </w:r>
      <w:r>
        <w:rPr>
          <w:sz w:val="24"/>
        </w:rPr>
        <w:t>Working seed Lot</w:t>
      </w:r>
      <w:r>
        <w:rPr>
          <w:sz w:val="24"/>
        </w:rPr>
        <w:t>）。工作种子批的生物学特性应与原始种子批一致，每批主种子批和工作种子批均应按规程要求保管、检定和使用。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5.2 </w:t>
      </w:r>
      <w:r>
        <w:rPr>
          <w:sz w:val="24"/>
        </w:rPr>
        <w:t>样本编号应在国家或国际同一名称的基础上进行，一经编号不得私自更改。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5.3 </w:t>
      </w:r>
      <w:r>
        <w:rPr>
          <w:sz w:val="24"/>
        </w:rPr>
        <w:t>样本的保存应有严格的登记制度，建立详细的</w:t>
      </w:r>
      <w:proofErr w:type="gramStart"/>
      <w:r>
        <w:rPr>
          <w:sz w:val="24"/>
        </w:rPr>
        <w:t>总帐</w:t>
      </w:r>
      <w:proofErr w:type="gramEnd"/>
      <w:r>
        <w:rPr>
          <w:sz w:val="24"/>
        </w:rPr>
        <w:t>和</w:t>
      </w:r>
      <w:proofErr w:type="gramStart"/>
      <w:r>
        <w:rPr>
          <w:sz w:val="24"/>
        </w:rPr>
        <w:t>分类帐</w:t>
      </w:r>
      <w:proofErr w:type="gramEnd"/>
      <w:r>
        <w:rPr>
          <w:sz w:val="24"/>
        </w:rPr>
        <w:t>。收到样本后应立即进行编号登记，详细记录样本的学名、株名、历时、来源、特性、用途、批号、传代冻干日期、数量。在保管过程中，凡传代、冻干及分发，均应及时登记，并定期核对库存数量。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5.4 </w:t>
      </w:r>
      <w:r>
        <w:rPr>
          <w:sz w:val="24"/>
        </w:rPr>
        <w:t>收到样本后应即使及时进行鉴定，所有样本鉴定结果应及时记入毒种及样本专用记录内。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5.5</w:t>
      </w:r>
      <w:r>
        <w:rPr>
          <w:sz w:val="24"/>
        </w:rPr>
        <w:t>样本鉴定后根据其特性选用适当方法及时保存。最好低温保存。样本应保存</w:t>
      </w:r>
      <w:r>
        <w:rPr>
          <w:sz w:val="24"/>
        </w:rPr>
        <w:t>2</w:t>
      </w:r>
      <w:r>
        <w:rPr>
          <w:sz w:val="24"/>
        </w:rPr>
        <w:t>份或保存于</w:t>
      </w:r>
      <w:r>
        <w:rPr>
          <w:sz w:val="24"/>
        </w:rPr>
        <w:t>2</w:t>
      </w:r>
      <w:r>
        <w:rPr>
          <w:sz w:val="24"/>
        </w:rPr>
        <w:t>种培养基，一份供定期移种或传代用，另一份</w:t>
      </w:r>
      <w:proofErr w:type="gramStart"/>
      <w:r>
        <w:rPr>
          <w:sz w:val="24"/>
        </w:rPr>
        <w:t>供经常</w:t>
      </w:r>
      <w:proofErr w:type="gramEnd"/>
      <w:r>
        <w:rPr>
          <w:sz w:val="24"/>
        </w:rPr>
        <w:t>移种或传代用。保存的样本传代应填写专用记录。毒株管上应有牢固的标签，标明样本编号、代次、</w:t>
      </w:r>
      <w:r>
        <w:rPr>
          <w:sz w:val="24"/>
        </w:rPr>
        <w:lastRenderedPageBreak/>
        <w:t>批次、日期。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5.6 </w:t>
      </w:r>
      <w:r>
        <w:rPr>
          <w:sz w:val="24"/>
        </w:rPr>
        <w:t>销毁样本时须经相应部门领导批准，并在记录上注销，注明销毁原因和方式。</w:t>
      </w:r>
    </w:p>
    <w:p w:rsidR="00B8233C" w:rsidRDefault="00B8233C" w:rsidP="00B8233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6  </w:t>
      </w:r>
      <w:r>
        <w:rPr>
          <w:b/>
          <w:sz w:val="24"/>
        </w:rPr>
        <w:t>文件支持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6.1  WHO</w:t>
      </w:r>
      <w:r>
        <w:rPr>
          <w:sz w:val="24"/>
        </w:rPr>
        <w:t>《生物安全手册》第三版（</w:t>
      </w:r>
      <w:r>
        <w:rPr>
          <w:sz w:val="24"/>
        </w:rPr>
        <w:t>2004</w:t>
      </w:r>
      <w:r>
        <w:rPr>
          <w:sz w:val="24"/>
        </w:rPr>
        <w:t>）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6.2</w:t>
      </w:r>
      <w:r>
        <w:rPr>
          <w:sz w:val="24"/>
        </w:rPr>
        <w:t>《病原微生物实验室生物安全管理条例》国务院</w:t>
      </w:r>
      <w:r>
        <w:rPr>
          <w:sz w:val="24"/>
        </w:rPr>
        <w:t>424</w:t>
      </w:r>
      <w:r>
        <w:rPr>
          <w:sz w:val="24"/>
        </w:rPr>
        <w:t>号（</w:t>
      </w:r>
      <w:r>
        <w:rPr>
          <w:sz w:val="24"/>
        </w:rPr>
        <w:t>2004</w:t>
      </w:r>
      <w:r>
        <w:rPr>
          <w:sz w:val="24"/>
        </w:rPr>
        <w:t>）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6.3</w:t>
      </w:r>
      <w:r>
        <w:rPr>
          <w:sz w:val="24"/>
        </w:rPr>
        <w:t>《实验室生物安全通用要求》</w:t>
      </w:r>
      <w:r>
        <w:rPr>
          <w:sz w:val="24"/>
        </w:rPr>
        <w:t xml:space="preserve"> GB 19489-2008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6.4</w:t>
      </w:r>
      <w:r>
        <w:rPr>
          <w:sz w:val="24"/>
        </w:rPr>
        <w:t>《设施设备标准操作程序》</w:t>
      </w:r>
    </w:p>
    <w:p w:rsidR="00B8233C" w:rsidRDefault="00B8233C" w:rsidP="00B8233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6.6 </w:t>
      </w:r>
      <w:r>
        <w:rPr>
          <w:sz w:val="24"/>
        </w:rPr>
        <w:t>《</w:t>
      </w:r>
      <w:r>
        <w:rPr>
          <w:sz w:val="24"/>
        </w:rPr>
        <w:t>BSL-2</w:t>
      </w:r>
      <w:r>
        <w:rPr>
          <w:sz w:val="24"/>
        </w:rPr>
        <w:t>实验室管理规范》</w:t>
      </w:r>
    </w:p>
    <w:p w:rsidR="00B8233C" w:rsidRDefault="00B8233C" w:rsidP="00B8233C">
      <w:pPr>
        <w:rPr>
          <w:sz w:val="24"/>
        </w:rPr>
      </w:pPr>
      <w:r>
        <w:rPr>
          <w:sz w:val="24"/>
        </w:rPr>
        <w:t>6.7</w:t>
      </w:r>
      <w:proofErr w:type="gramStart"/>
      <w:r>
        <w:rPr>
          <w:rFonts w:hint="eastAsia"/>
          <w:sz w:val="24"/>
        </w:rPr>
        <w:t>吴观陵主编</w:t>
      </w:r>
      <w:proofErr w:type="gramEnd"/>
      <w:r>
        <w:rPr>
          <w:rFonts w:hint="eastAsia"/>
          <w:sz w:val="24"/>
        </w:rPr>
        <w:t>，《人体寄生虫学》，人民卫生出版社，</w:t>
      </w:r>
      <w:r>
        <w:rPr>
          <w:rFonts w:hint="eastAsia"/>
          <w:sz w:val="24"/>
        </w:rPr>
        <w:t xml:space="preserve"> 2005</w:t>
      </w:r>
      <w:r>
        <w:rPr>
          <w:rFonts w:hint="eastAsia"/>
          <w:sz w:val="24"/>
        </w:rPr>
        <w:t>年，第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版。</w:t>
      </w:r>
    </w:p>
    <w:p w:rsidR="00B8233C" w:rsidRPr="00B8233C" w:rsidRDefault="00B8233C" w:rsidP="00B8233C">
      <w:pPr>
        <w:rPr>
          <w:sz w:val="24"/>
        </w:rPr>
      </w:pPr>
    </w:p>
    <w:p w:rsidR="00B8233C" w:rsidRDefault="00B8233C" w:rsidP="00B8233C">
      <w:pPr>
        <w:rPr>
          <w:sz w:val="24"/>
        </w:rPr>
        <w:sectPr w:rsidR="00B8233C" w:rsidSect="00B8233C">
          <w:headerReference w:type="default" r:id="rId11"/>
          <w:headerReference w:type="first" r:id="rId12"/>
          <w:pgSz w:w="11906" w:h="16838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:rsidR="00B8233C" w:rsidRDefault="00B8233C" w:rsidP="00B8233C">
      <w:pPr>
        <w:spacing w:before="260" w:after="26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恶性疟原虫</w:t>
      </w:r>
      <w:r>
        <w:rPr>
          <w:b/>
          <w:sz w:val="32"/>
          <w:szCs w:val="32"/>
        </w:rPr>
        <w:t>实验室间传递操作程序</w:t>
      </w:r>
    </w:p>
    <w:p w:rsidR="00B8233C" w:rsidRDefault="00B8233C" w:rsidP="00B8233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rFonts w:hint="eastAsia"/>
          <w:sz w:val="24"/>
        </w:rPr>
        <w:t>恶性疟原虫</w:t>
      </w:r>
      <w:r>
        <w:rPr>
          <w:sz w:val="24"/>
        </w:rPr>
        <w:t>实验室间传递的相关操作程序。</w:t>
      </w:r>
    </w:p>
    <w:p w:rsidR="00B8233C" w:rsidRDefault="00B8233C" w:rsidP="00B8233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参与</w:t>
      </w:r>
      <w:r>
        <w:rPr>
          <w:rFonts w:hint="eastAsia"/>
          <w:sz w:val="24"/>
        </w:rPr>
        <w:t>恶性疟原虫</w:t>
      </w:r>
      <w:r>
        <w:rPr>
          <w:sz w:val="24"/>
        </w:rPr>
        <w:t>实验室间传递的工作人员。</w:t>
      </w:r>
    </w:p>
    <w:p w:rsidR="00B8233C" w:rsidRDefault="00B8233C" w:rsidP="00B8233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防护要求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生物安全</w:t>
      </w:r>
      <w:r>
        <w:rPr>
          <w:rFonts w:hint="eastAsia"/>
          <w:sz w:val="24"/>
        </w:rPr>
        <w:t>二</w:t>
      </w:r>
      <w:r>
        <w:rPr>
          <w:sz w:val="24"/>
        </w:rPr>
        <w:t>级实验室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3.2</w:t>
      </w:r>
      <w:r>
        <w:rPr>
          <w:sz w:val="24"/>
        </w:rPr>
        <w:t>实验人员防护装备：一次性帽子、医用防护口罩、一次性手套、防护服、鞋套。</w:t>
      </w:r>
    </w:p>
    <w:p w:rsidR="00B8233C" w:rsidRDefault="00B8233C" w:rsidP="00B8233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毒株（样本）实验室间的传递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将实验用样本从指定保存位置取出，表面喷洒酒精后放入生物安全柜内；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在生物安全柜内将样本取出</w:t>
      </w:r>
      <w:r>
        <w:rPr>
          <w:bCs/>
          <w:sz w:val="24"/>
        </w:rPr>
        <w:t>，认真核实</w:t>
      </w:r>
      <w:r>
        <w:rPr>
          <w:sz w:val="24"/>
        </w:rPr>
        <w:t>样本信息，确保无误后</w:t>
      </w:r>
      <w:r>
        <w:rPr>
          <w:color w:val="000000"/>
          <w:sz w:val="24"/>
        </w:rPr>
        <w:t>，将</w:t>
      </w:r>
      <w:r>
        <w:rPr>
          <w:sz w:val="24"/>
        </w:rPr>
        <w:t>样本重新装入两层带有封口的密封袋或密封装置中，并注明样本名称、数量、状态、毒株编号；</w:t>
      </w:r>
    </w:p>
    <w:p w:rsidR="00B8233C" w:rsidRDefault="00B8233C" w:rsidP="00B8233C">
      <w:pPr>
        <w:spacing w:line="360" w:lineRule="auto"/>
        <w:rPr>
          <w:color w:val="000000"/>
          <w:sz w:val="24"/>
        </w:rPr>
      </w:pPr>
      <w:r>
        <w:rPr>
          <w:sz w:val="24"/>
        </w:rPr>
        <w:t>4.3</w:t>
      </w:r>
      <w:r>
        <w:rPr>
          <w:sz w:val="24"/>
        </w:rPr>
        <w:t>表面喷洒</w:t>
      </w:r>
      <w:r>
        <w:rPr>
          <w:sz w:val="24"/>
        </w:rPr>
        <w:t>7</w:t>
      </w:r>
      <w:r>
        <w:rPr>
          <w:rFonts w:hint="eastAsia"/>
          <w:sz w:val="24"/>
        </w:rPr>
        <w:t>5</w:t>
      </w:r>
      <w:r>
        <w:rPr>
          <w:sz w:val="24"/>
        </w:rPr>
        <w:t>%</w:t>
      </w:r>
      <w:r>
        <w:rPr>
          <w:sz w:val="24"/>
        </w:rPr>
        <w:t>酒精后，</w:t>
      </w:r>
      <w:r>
        <w:rPr>
          <w:color w:val="000000"/>
          <w:sz w:val="24"/>
        </w:rPr>
        <w:t>拿出安全柜，</w:t>
      </w:r>
      <w:r>
        <w:rPr>
          <w:rFonts w:hint="eastAsia"/>
          <w:color w:val="000000"/>
          <w:sz w:val="24"/>
        </w:rPr>
        <w:t>放入内部转运箱，</w:t>
      </w:r>
      <w:r>
        <w:rPr>
          <w:color w:val="000000"/>
          <w:sz w:val="24"/>
        </w:rPr>
        <w:t>送往其他实验室中，并填写</w:t>
      </w:r>
      <w:r>
        <w:rPr>
          <w:sz w:val="24"/>
        </w:rPr>
        <w:t>（菌）毒种流向表。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color w:val="000000"/>
          <w:sz w:val="24"/>
        </w:rPr>
        <w:t>4.4</w:t>
      </w:r>
      <w:r>
        <w:rPr>
          <w:color w:val="000000"/>
          <w:sz w:val="24"/>
        </w:rPr>
        <w:t>实验结束后</w:t>
      </w:r>
      <w:r>
        <w:rPr>
          <w:sz w:val="24"/>
        </w:rPr>
        <w:t>按照《</w:t>
      </w:r>
      <w:r>
        <w:rPr>
          <w:rFonts w:hint="eastAsia"/>
          <w:sz w:val="24"/>
        </w:rPr>
        <w:t>恶性疟原虫</w:t>
      </w:r>
      <w:r>
        <w:rPr>
          <w:sz w:val="24"/>
        </w:rPr>
        <w:t>实验后清场及污物、废物处理标准操作程序》进行清场。</w:t>
      </w:r>
    </w:p>
    <w:p w:rsidR="00B8233C" w:rsidRDefault="00B8233C" w:rsidP="00B8233C">
      <w:pPr>
        <w:spacing w:line="36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5  </w:t>
      </w:r>
      <w:r>
        <w:rPr>
          <w:rFonts w:hint="eastAsia"/>
          <w:b/>
          <w:sz w:val="24"/>
        </w:rPr>
        <w:t>参考文献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5.1  WHO</w:t>
      </w:r>
      <w:r>
        <w:rPr>
          <w:sz w:val="24"/>
        </w:rPr>
        <w:t>《生物安全手册》第三版（</w:t>
      </w:r>
      <w:r>
        <w:rPr>
          <w:sz w:val="24"/>
        </w:rPr>
        <w:t>2004</w:t>
      </w:r>
      <w:r>
        <w:rPr>
          <w:sz w:val="24"/>
        </w:rPr>
        <w:t>）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5.2 </w:t>
      </w:r>
      <w:r>
        <w:rPr>
          <w:sz w:val="24"/>
        </w:rPr>
        <w:t>《病原微生物实验室生物安全管理条例》国务院</w:t>
      </w:r>
      <w:r>
        <w:rPr>
          <w:sz w:val="24"/>
        </w:rPr>
        <w:t>424</w:t>
      </w:r>
      <w:r>
        <w:rPr>
          <w:sz w:val="24"/>
        </w:rPr>
        <w:t>号（</w:t>
      </w:r>
      <w:r>
        <w:rPr>
          <w:sz w:val="24"/>
        </w:rPr>
        <w:t>2004</w:t>
      </w:r>
      <w:r>
        <w:rPr>
          <w:sz w:val="24"/>
        </w:rPr>
        <w:t>）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5.3 </w:t>
      </w:r>
      <w:r>
        <w:rPr>
          <w:sz w:val="24"/>
        </w:rPr>
        <w:t>《实验室生物安全通用要求》</w:t>
      </w:r>
      <w:r>
        <w:rPr>
          <w:sz w:val="24"/>
        </w:rPr>
        <w:t xml:space="preserve"> GB 19489-2008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 xml:space="preserve">5.4 </w:t>
      </w:r>
      <w:r>
        <w:rPr>
          <w:sz w:val="24"/>
        </w:rPr>
        <w:t>《设施设备标准操作程序》</w:t>
      </w:r>
    </w:p>
    <w:p w:rsidR="00B8233C" w:rsidRDefault="00B8233C" w:rsidP="00B8233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5.7 </w:t>
      </w:r>
      <w:r>
        <w:rPr>
          <w:sz w:val="24"/>
        </w:rPr>
        <w:t>《</w:t>
      </w:r>
      <w:r>
        <w:rPr>
          <w:sz w:val="24"/>
        </w:rPr>
        <w:t>BSL-2</w:t>
      </w:r>
      <w:r>
        <w:rPr>
          <w:sz w:val="24"/>
        </w:rPr>
        <w:t>实验室管理规范》</w:t>
      </w:r>
    </w:p>
    <w:p w:rsidR="00B8233C" w:rsidRDefault="00B8233C" w:rsidP="00B8233C">
      <w:pPr>
        <w:spacing w:line="360" w:lineRule="auto"/>
        <w:rPr>
          <w:sz w:val="24"/>
        </w:rPr>
      </w:pPr>
      <w:r>
        <w:rPr>
          <w:sz w:val="24"/>
        </w:rPr>
        <w:t>5.8</w:t>
      </w:r>
      <w:proofErr w:type="gramStart"/>
      <w:r>
        <w:rPr>
          <w:rFonts w:hint="eastAsia"/>
          <w:sz w:val="24"/>
        </w:rPr>
        <w:t>吴观陵主编</w:t>
      </w:r>
      <w:proofErr w:type="gramEnd"/>
      <w:r>
        <w:rPr>
          <w:rFonts w:hint="eastAsia"/>
          <w:sz w:val="24"/>
        </w:rPr>
        <w:t>，《人体寄生虫学》，人民卫生出版社，</w:t>
      </w:r>
      <w:r>
        <w:rPr>
          <w:rFonts w:hint="eastAsia"/>
          <w:sz w:val="24"/>
        </w:rPr>
        <w:t>2005</w:t>
      </w:r>
      <w:r>
        <w:rPr>
          <w:rFonts w:hint="eastAsia"/>
          <w:sz w:val="24"/>
        </w:rPr>
        <w:t>年，第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版。</w:t>
      </w:r>
    </w:p>
    <w:p w:rsidR="00B8233C" w:rsidRPr="00B8233C" w:rsidRDefault="00B8233C" w:rsidP="00B8233C">
      <w:pPr>
        <w:rPr>
          <w:sz w:val="24"/>
        </w:rPr>
      </w:pPr>
    </w:p>
    <w:p w:rsidR="00B8233C" w:rsidRDefault="00B8233C" w:rsidP="00B8233C">
      <w:pPr>
        <w:rPr>
          <w:sz w:val="24"/>
        </w:rPr>
        <w:sectPr w:rsidR="00B8233C" w:rsidSect="00B8233C">
          <w:headerReference w:type="first" r:id="rId13"/>
          <w:pgSz w:w="11906" w:h="16838"/>
          <w:pgMar w:top="1440" w:right="1418" w:bottom="1440" w:left="1797" w:header="851" w:footer="992" w:gutter="0"/>
          <w:cols w:space="425"/>
          <w:titlePg/>
          <w:docGrid w:type="lines" w:linePitch="312"/>
        </w:sectPr>
      </w:pPr>
    </w:p>
    <w:p w:rsidR="00B8233C" w:rsidRPr="00B8233C" w:rsidRDefault="00B8233C" w:rsidP="004D4040">
      <w:pPr>
        <w:spacing w:before="260" w:after="260" w:line="360" w:lineRule="auto"/>
        <w:jc w:val="center"/>
        <w:rPr>
          <w:sz w:val="24"/>
        </w:rPr>
      </w:pPr>
      <w:bookmarkStart w:id="2" w:name="_GoBack"/>
      <w:bookmarkEnd w:id="2"/>
    </w:p>
    <w:sectPr w:rsidR="00B8233C" w:rsidRPr="00B8233C" w:rsidSect="004D40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0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99" w:rsidRDefault="00306B99" w:rsidP="00EC7EF1">
      <w:r>
        <w:separator/>
      </w:r>
    </w:p>
  </w:endnote>
  <w:endnote w:type="continuationSeparator" w:id="0">
    <w:p w:rsidR="00306B99" w:rsidRDefault="00306B99" w:rsidP="00EC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6D0" w:rsidRDefault="005426D0">
    <w:pPr>
      <w:pStyle w:val="a5"/>
      <w:jc w:val="center"/>
      <w:rPr>
        <w:rFonts w:ascii="Arial" w:hAnsi="Arial" w:cs="Arial"/>
      </w:rPr>
    </w:pPr>
    <w:r>
      <w:rPr>
        <w:rFonts w:ascii="Arial" w:hAnsi="Arial" w:cs="Arial" w:hint="eastAsia"/>
      </w:rPr>
      <w:t>第</w:t>
    </w:r>
    <w:r w:rsidR="00544722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 w:rsidR="00544722">
      <w:rPr>
        <w:rFonts w:ascii="Arial" w:hAnsi="Arial" w:cs="Arial"/>
      </w:rPr>
      <w:fldChar w:fldCharType="separate"/>
    </w:r>
    <w:r w:rsidR="00A713CA">
      <w:rPr>
        <w:rFonts w:ascii="Arial" w:hAnsi="Arial" w:cs="Arial"/>
        <w:noProof/>
      </w:rPr>
      <w:t>1</w:t>
    </w:r>
    <w:r w:rsidR="00544722">
      <w:rPr>
        <w:rFonts w:ascii="Arial" w:hAnsi="Arial" w:cs="Arial"/>
      </w:rPr>
      <w:fldChar w:fldCharType="end"/>
    </w:r>
    <w:r>
      <w:rPr>
        <w:rFonts w:ascii="Arial" w:hAnsi="Arial" w:cs="Arial" w:hint="eastAsia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 w:hint="eastAsia"/>
      </w:rPr>
      <w:t>共</w:t>
    </w:r>
    <w:r w:rsidR="00C66C4B">
      <w:rPr>
        <w:rFonts w:ascii="Arial" w:hAnsi="Arial" w:cs="Arial"/>
        <w:noProof/>
      </w:rPr>
      <w:fldChar w:fldCharType="begin"/>
    </w:r>
    <w:r w:rsidR="00C66C4B">
      <w:rPr>
        <w:rFonts w:ascii="Arial" w:hAnsi="Arial" w:cs="Arial"/>
        <w:noProof/>
      </w:rPr>
      <w:instrText xml:space="preserve"> SECTIONPAGES \* MERGEFORMAT </w:instrText>
    </w:r>
    <w:r w:rsidR="00C66C4B">
      <w:rPr>
        <w:rFonts w:ascii="Arial" w:hAnsi="Arial" w:cs="Arial"/>
        <w:noProof/>
      </w:rPr>
      <w:fldChar w:fldCharType="separate"/>
    </w:r>
    <w:r w:rsidR="000908BE">
      <w:rPr>
        <w:rFonts w:ascii="Arial" w:hAnsi="Arial" w:cs="Arial"/>
        <w:noProof/>
      </w:rPr>
      <w:t>2</w:t>
    </w:r>
    <w:r w:rsidR="00C66C4B">
      <w:rPr>
        <w:rFonts w:ascii="Arial" w:hAnsi="Arial" w:cs="Arial"/>
        <w:noProof/>
      </w:rPr>
      <w:fldChar w:fldCharType="end"/>
    </w:r>
    <w:r>
      <w:rPr>
        <w:rFonts w:ascii="Arial" w:hAnsi="Arial" w:cs="Arial" w:hint="eastAsia"/>
      </w:rPr>
      <w:t>页</w:t>
    </w:r>
  </w:p>
  <w:p w:rsidR="005426D0" w:rsidRDefault="005426D0">
    <w:pPr>
      <w:pStyle w:val="a5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06B9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306B99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lang w:val="en-US" w:eastAsia="zh-CN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   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  <w:lang w:val="en-US" w:eastAsia="zh-CN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06B99">
    <w:pPr>
      <w:pStyle w:val="a5"/>
      <w:tabs>
        <w:tab w:val="clear" w:pos="4153"/>
        <w:tab w:val="clear" w:pos="8306"/>
        <w:tab w:val="left" w:pos="495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2" type="#_x0000_t202" style="position:absolute;margin-left:0;margin-top:0;width:2in;height:2in;z-index: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306B99">
                <w:pPr>
                  <w:snapToGrid w:val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第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页</w:t>
                </w:r>
                <w:r>
                  <w:rPr>
                    <w:rFonts w:ascii="Arial" w:hAnsi="Arial" w:cs="Arial" w:hint="eastAsia"/>
                    <w:sz w:val="18"/>
                    <w:szCs w:val="18"/>
                  </w:rPr>
                  <w:t xml:space="preserve">   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共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  <w:szCs w:val="18"/>
                  </w:rPr>
                  <w:instrText xml:space="preserve"> NUMPAGES  \* MERGEFORMAT </w:instrTex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  <w:t>4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页</w:t>
                </w:r>
              </w:p>
            </w:txbxContent>
          </v:textbox>
          <w10:wrap anchorx="margin"/>
        </v:shape>
      </w:pi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99" w:rsidRDefault="00306B99" w:rsidP="00EC7EF1">
      <w:r>
        <w:separator/>
      </w:r>
    </w:p>
  </w:footnote>
  <w:footnote w:type="continuationSeparator" w:id="0">
    <w:p w:rsidR="00306B99" w:rsidRDefault="00306B99" w:rsidP="00EC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6D0" w:rsidRDefault="005426D0">
    <w:pPr>
      <w:pStyle w:val="a7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 w:rsidR="00ED0562">
      <w:rPr>
        <w:rFonts w:ascii="Arial" w:hAnsi="Arial" w:cs="Arial" w:hint="eastAsia"/>
      </w:rPr>
      <w:t>3</w:t>
    </w:r>
    <w:r>
      <w:rPr>
        <w:rFonts w:ascii="Arial" w:hAnsi="Arial" w:cs="Arial"/>
      </w:rPr>
      <w:t xml:space="preserve">26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 w:rsidR="00A713CA">
      <w:rPr>
        <w:rFonts w:ascii="Arial" w:eastAsia="微软雅黑" w:hAnsi="Arial" w:cs="Arial"/>
        <w:lang w:val="zh-CN"/>
      </w:rPr>
      <w:t>1</w:t>
    </w:r>
  </w:p>
  <w:p w:rsidR="005426D0" w:rsidRDefault="005426D0">
    <w:pPr>
      <w:pStyle w:val="a7"/>
      <w:jc w:val="both"/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</w:t>
    </w:r>
    <w:r w:rsidR="00A713CA"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 w:rsidR="00A713CA"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3C" w:rsidRDefault="00B8233C" w:rsidP="00B8233C">
    <w:pPr>
      <w:pStyle w:val="a7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 xml:space="preserve">26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1/1</w:t>
    </w:r>
  </w:p>
  <w:p w:rsidR="00A713CA" w:rsidRPr="00B8233C" w:rsidRDefault="00B8233C" w:rsidP="00B8233C">
    <w:pPr>
      <w:pStyle w:val="a7"/>
      <w:jc w:val="both"/>
      <w:rPr>
        <w:rFonts w:hint="eastAsia"/>
      </w:rPr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3C" w:rsidRDefault="00B8233C">
    <w:pPr>
      <w:pStyle w:val="a7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 xml:space="preserve">26-01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3C" w:rsidRDefault="00B8233C" w:rsidP="00B8233C">
    <w:pPr>
      <w:pStyle w:val="a7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26</w:t>
    </w:r>
    <w:r>
      <w:rPr>
        <w:rFonts w:ascii="Arial" w:hAnsi="Arial" w:cs="Arial"/>
      </w:rPr>
      <w:t>-01</w:t>
    </w:r>
    <w:r>
      <w:rPr>
        <w:rFonts w:ascii="Arial" w:hAnsi="Arial" w:cs="Arial"/>
      </w:rPr>
      <w:t xml:space="preserve">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1/1</w:t>
    </w:r>
  </w:p>
  <w:p w:rsidR="00B8233C" w:rsidRPr="00B8233C" w:rsidRDefault="00B8233C" w:rsidP="00B8233C">
    <w:pPr>
      <w:pStyle w:val="a7"/>
      <w:jc w:val="both"/>
      <w:rPr>
        <w:rFonts w:hint="eastAsia"/>
      </w:rPr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3C" w:rsidRDefault="00B8233C">
    <w:pPr>
      <w:pStyle w:val="a7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 xml:space="preserve">26-02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3C" w:rsidRDefault="00B8233C" w:rsidP="00B8233C">
    <w:pPr>
      <w:pStyle w:val="a7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26</w:t>
    </w:r>
    <w:r>
      <w:rPr>
        <w:rFonts w:ascii="Arial" w:hAnsi="Arial" w:cs="Arial"/>
      </w:rPr>
      <w:t>-02</w:t>
    </w:r>
    <w:r>
      <w:rPr>
        <w:rFonts w:ascii="Arial" w:hAnsi="Arial" w:cs="Arial"/>
      </w:rPr>
      <w:t xml:space="preserve">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1/1</w:t>
    </w:r>
  </w:p>
  <w:p w:rsidR="00B8233C" w:rsidRPr="00B8233C" w:rsidRDefault="00B8233C" w:rsidP="00B8233C">
    <w:pPr>
      <w:pStyle w:val="a7"/>
      <w:jc w:val="both"/>
      <w:rPr>
        <w:rFonts w:hint="eastAsia"/>
      </w:rPr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40" w:rsidRDefault="004D4040" w:rsidP="00B8233C">
    <w:pPr>
      <w:pStyle w:val="a7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26</w:t>
    </w:r>
    <w:r>
      <w:rPr>
        <w:rFonts w:ascii="Arial" w:hAnsi="Arial" w:cs="Arial"/>
      </w:rPr>
      <w:t>-03</w:t>
    </w:r>
    <w:r>
      <w:rPr>
        <w:rFonts w:ascii="Arial" w:hAnsi="Arial" w:cs="Arial"/>
      </w:rPr>
      <w:t xml:space="preserve">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1/1</w:t>
    </w:r>
  </w:p>
  <w:p w:rsidR="004D4040" w:rsidRPr="00B8233C" w:rsidRDefault="004D4040" w:rsidP="00B8233C">
    <w:pPr>
      <w:pStyle w:val="a7"/>
      <w:jc w:val="both"/>
      <w:rPr>
        <w:rFonts w:hint="eastAsia"/>
      </w:rPr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2022.05.01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06B99">
    <w:pPr>
      <w:pStyle w:val="a7"/>
      <w:pBdr>
        <w:bottom w:val="single" w:sz="4" w:space="1" w:color="auto"/>
      </w:pBdr>
      <w:jc w:val="both"/>
      <w:rPr>
        <w:rFonts w:ascii="Arial" w:hAnsi="Arial" w:cs="Arial" w:hint="eastAsia"/>
      </w:rPr>
    </w:pPr>
    <w:r>
      <w:rPr>
        <w:rFonts w:ascii="Arial" w:hAnsi="Arial" w:cs="Arial"/>
        <w:spacing w:val="20"/>
      </w:rPr>
      <w:t>CCPM-C-Ⅲ-32</w:t>
    </w:r>
    <w:r>
      <w:rPr>
        <w:rFonts w:ascii="Arial" w:hAnsi="Arial" w:cs="Arial" w:hint="eastAsia"/>
        <w:spacing w:val="20"/>
      </w:rPr>
      <w:t>6</w:t>
    </w:r>
    <w:r>
      <w:rPr>
        <w:rFonts w:ascii="Arial" w:hAnsi="Arial" w:cs="Arial"/>
        <w:spacing w:val="20"/>
      </w:rPr>
      <w:t xml:space="preserve">-06 </w:t>
    </w:r>
    <w:r>
      <w:rPr>
        <w:rFonts w:ascii="Arial" w:hAnsi="Arial" w:cs="Arial"/>
        <w:spacing w:val="20"/>
      </w:rPr>
      <w:t xml:space="preserve">        </w:t>
    </w:r>
    <w:r>
      <w:rPr>
        <w:rFonts w:ascii="Arial" w:hAnsi="Arial" w:cs="Arial" w:hint="eastAsia"/>
        <w:spacing w:val="20"/>
      </w:rPr>
      <w:t xml:space="preserve">                             </w:t>
    </w:r>
    <w:r>
      <w:rPr>
        <w:rFonts w:ascii="Arial" w:hAnsi="Arial" w:cs="Arial"/>
        <w:spacing w:val="20"/>
      </w:rPr>
      <w:t>版本</w:t>
    </w:r>
    <w:r>
      <w:rPr>
        <w:rFonts w:ascii="Arial" w:hAnsi="Arial" w:cs="Arial"/>
        <w:spacing w:val="20"/>
      </w:rPr>
      <w:t>/</w:t>
    </w:r>
    <w:r>
      <w:rPr>
        <w:rFonts w:ascii="Arial" w:hAnsi="Arial" w:cs="Arial"/>
        <w:spacing w:val="20"/>
      </w:rPr>
      <w:t>修订：</w:t>
    </w:r>
    <w:r>
      <w:rPr>
        <w:rFonts w:ascii="Arial" w:hAnsi="Arial" w:cs="Arial" w:hint="eastAsia"/>
        <w:spacing w:val="20"/>
      </w:rPr>
      <w:t>1/</w:t>
    </w:r>
    <w:r>
      <w:rPr>
        <w:rFonts w:ascii="Arial" w:hAnsi="Arial" w:cs="Arial" w:hint="eastAsia"/>
        <w:spacing w:val="20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06B99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 w:hint="eastAsia"/>
        <w:spacing w:val="20"/>
        <w:sz w:val="18"/>
        <w:szCs w:val="18"/>
      </w:rPr>
    </w:pPr>
    <w:r>
      <w:rPr>
        <w:rFonts w:ascii="Arial" w:hAnsi="Arial" w:cs="Arial"/>
        <w:spacing w:val="20"/>
        <w:sz w:val="18"/>
        <w:szCs w:val="18"/>
      </w:rPr>
      <w:t>CCPM-C-Ⅲ-32</w:t>
    </w:r>
    <w:r>
      <w:rPr>
        <w:rFonts w:ascii="Arial" w:hAnsi="Arial" w:cs="Arial" w:hint="eastAsia"/>
        <w:spacing w:val="20"/>
        <w:sz w:val="18"/>
        <w:szCs w:val="18"/>
      </w:rPr>
      <w:t>6</w:t>
    </w:r>
    <w:r>
      <w:rPr>
        <w:rFonts w:ascii="Arial" w:hAnsi="Arial" w:cs="Arial"/>
        <w:spacing w:val="20"/>
        <w:sz w:val="18"/>
        <w:szCs w:val="18"/>
      </w:rPr>
      <w:t>-0</w:t>
    </w:r>
    <w:r w:rsidR="004D4040">
      <w:rPr>
        <w:rFonts w:ascii="Arial" w:hAnsi="Arial" w:cs="Arial"/>
        <w:spacing w:val="20"/>
        <w:sz w:val="18"/>
        <w:szCs w:val="18"/>
      </w:rPr>
      <w:t>4</w:t>
    </w:r>
    <w:r>
      <w:rPr>
        <w:rFonts w:ascii="Arial" w:hAnsi="Arial" w:cs="Arial"/>
        <w:spacing w:val="20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                                 </w:t>
    </w:r>
    <w:r>
      <w:rPr>
        <w:rFonts w:ascii="Arial" w:hAnsi="Arial" w:cs="Arial"/>
        <w:spacing w:val="20"/>
        <w:sz w:val="18"/>
        <w:szCs w:val="18"/>
      </w:rPr>
      <w:t xml:space="preserve">            </w:t>
    </w:r>
    <w:r>
      <w:rPr>
        <w:rFonts w:ascii="Arial" w:hAnsi="Arial" w:cs="Arial"/>
        <w:spacing w:val="20"/>
        <w:sz w:val="18"/>
        <w:szCs w:val="18"/>
      </w:rPr>
      <w:t>版本</w:t>
    </w:r>
    <w:r>
      <w:rPr>
        <w:rFonts w:ascii="Arial" w:hAnsi="Arial" w:cs="Arial"/>
        <w:spacing w:val="20"/>
        <w:sz w:val="18"/>
        <w:szCs w:val="18"/>
      </w:rPr>
      <w:t>/</w:t>
    </w:r>
    <w:r>
      <w:rPr>
        <w:rFonts w:ascii="Arial" w:hAnsi="Arial" w:cs="Arial"/>
        <w:spacing w:val="20"/>
        <w:sz w:val="18"/>
        <w:szCs w:val="18"/>
      </w:rPr>
      <w:t>修订：</w:t>
    </w:r>
    <w:r>
      <w:rPr>
        <w:rFonts w:ascii="Arial" w:hAnsi="Arial" w:cs="Arial"/>
        <w:spacing w:val="20"/>
        <w:sz w:val="18"/>
        <w:szCs w:val="18"/>
      </w:rPr>
      <w:t>1/</w:t>
    </w:r>
    <w:r>
      <w:rPr>
        <w:rFonts w:ascii="Arial" w:hAnsi="Arial" w:cs="Arial" w:hint="eastAsia"/>
        <w:spacing w:val="20"/>
        <w:sz w:val="18"/>
        <w:szCs w:val="18"/>
      </w:rPr>
      <w:t>1</w:t>
    </w:r>
  </w:p>
  <w:p w:rsidR="00000000" w:rsidRDefault="00306B99">
    <w:pPr>
      <w:pStyle w:val="a7"/>
      <w:pBdr>
        <w:bottom w:val="single" w:sz="4" w:space="1" w:color="auto"/>
      </w:pBdr>
      <w:jc w:val="both"/>
      <w:rPr>
        <w:rFonts w:ascii="Arial" w:hAnsi="Arial" w:cs="Arial" w:hint="eastAsia"/>
      </w:rPr>
    </w:pPr>
    <w:r>
      <w:rPr>
        <w:rFonts w:ascii="Arial" w:hAnsi="Arial" w:cs="Arial"/>
        <w:spacing w:val="20"/>
      </w:rPr>
      <w:t>编制人：</w:t>
    </w:r>
    <w:r>
      <w:rPr>
        <w:rFonts w:ascii="Arial" w:hAnsi="Arial" w:cs="Arial"/>
        <w:spacing w:val="20"/>
      </w:rPr>
      <w:t xml:space="preserve">        </w:t>
    </w:r>
    <w:r>
      <w:rPr>
        <w:rFonts w:ascii="Arial" w:hAnsi="Arial" w:cs="Arial"/>
        <w:spacing w:val="20"/>
      </w:rPr>
      <w:t>审核人：</w:t>
    </w:r>
    <w:r>
      <w:rPr>
        <w:rFonts w:ascii="Arial" w:hAnsi="Arial" w:cs="Arial"/>
        <w:spacing w:val="20"/>
      </w:rPr>
      <w:t xml:space="preserve">         </w:t>
    </w:r>
    <w:r>
      <w:rPr>
        <w:rFonts w:ascii="Arial" w:hAnsi="Arial" w:cs="Arial"/>
        <w:spacing w:val="20"/>
      </w:rPr>
      <w:t>批准人：</w:t>
    </w:r>
    <w:r>
      <w:rPr>
        <w:rFonts w:ascii="Arial" w:hAnsi="Arial" w:cs="Arial"/>
        <w:spacing w:val="20"/>
      </w:rPr>
      <w:t xml:space="preserve">         </w:t>
    </w:r>
    <w:r>
      <w:rPr>
        <w:rFonts w:ascii="Arial" w:hAnsi="Arial" w:cs="Arial"/>
        <w:spacing w:val="20"/>
      </w:rPr>
      <w:t>实施日期：</w:t>
    </w:r>
    <w:r>
      <w:rPr>
        <w:rFonts w:ascii="Arial" w:hAnsi="Arial" w:cs="Arial"/>
        <w:spacing w:val="20"/>
      </w:rPr>
      <w:t>20</w:t>
    </w:r>
    <w:r>
      <w:rPr>
        <w:rFonts w:ascii="Arial" w:hAnsi="Arial" w:cs="Arial" w:hint="eastAsia"/>
        <w:spacing w:val="20"/>
      </w:rPr>
      <w:t>22</w:t>
    </w:r>
    <w:r>
      <w:rPr>
        <w:rFonts w:ascii="Arial" w:hAnsi="Arial" w:cs="Arial"/>
        <w:spacing w:val="20"/>
      </w:rPr>
      <w:t>.0</w:t>
    </w:r>
    <w:r>
      <w:rPr>
        <w:rFonts w:ascii="Arial" w:hAnsi="Arial" w:cs="Arial" w:hint="eastAsia"/>
        <w:spacing w:val="20"/>
      </w:rPr>
      <w:t>5</w:t>
    </w:r>
    <w:r>
      <w:rPr>
        <w:rFonts w:ascii="Arial" w:hAnsi="Arial" w:cs="Arial"/>
        <w:spacing w:val="20"/>
      </w:rPr>
      <w:t>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E12"/>
    <w:rsid w:val="000908BE"/>
    <w:rsid w:val="000D0F01"/>
    <w:rsid w:val="000D4EED"/>
    <w:rsid w:val="00197151"/>
    <w:rsid w:val="001A45A0"/>
    <w:rsid w:val="002105C4"/>
    <w:rsid w:val="002F3030"/>
    <w:rsid w:val="00306B99"/>
    <w:rsid w:val="00336D3F"/>
    <w:rsid w:val="00392058"/>
    <w:rsid w:val="003D015E"/>
    <w:rsid w:val="003D301F"/>
    <w:rsid w:val="003F3299"/>
    <w:rsid w:val="004D1479"/>
    <w:rsid w:val="004D4040"/>
    <w:rsid w:val="005426D0"/>
    <w:rsid w:val="00544722"/>
    <w:rsid w:val="00632C10"/>
    <w:rsid w:val="006C4E96"/>
    <w:rsid w:val="00705565"/>
    <w:rsid w:val="00762502"/>
    <w:rsid w:val="007916E4"/>
    <w:rsid w:val="008A30E8"/>
    <w:rsid w:val="008D7DFC"/>
    <w:rsid w:val="00945F1D"/>
    <w:rsid w:val="009B26E7"/>
    <w:rsid w:val="009F607F"/>
    <w:rsid w:val="00A12A6E"/>
    <w:rsid w:val="00A24CB1"/>
    <w:rsid w:val="00A35637"/>
    <w:rsid w:val="00A713CA"/>
    <w:rsid w:val="00A76601"/>
    <w:rsid w:val="00A766EF"/>
    <w:rsid w:val="00AC5DC2"/>
    <w:rsid w:val="00AE1496"/>
    <w:rsid w:val="00B45A93"/>
    <w:rsid w:val="00B8233C"/>
    <w:rsid w:val="00B86105"/>
    <w:rsid w:val="00B90FDB"/>
    <w:rsid w:val="00BB3D8F"/>
    <w:rsid w:val="00C65994"/>
    <w:rsid w:val="00C66C4B"/>
    <w:rsid w:val="00C72350"/>
    <w:rsid w:val="00D03563"/>
    <w:rsid w:val="00D63A30"/>
    <w:rsid w:val="00DD0E12"/>
    <w:rsid w:val="00DE7F59"/>
    <w:rsid w:val="00E57700"/>
    <w:rsid w:val="00EC7EF1"/>
    <w:rsid w:val="00ED0562"/>
    <w:rsid w:val="00ED7726"/>
    <w:rsid w:val="00F34639"/>
    <w:rsid w:val="00F47EB1"/>
    <w:rsid w:val="00F8699F"/>
    <w:rsid w:val="00FA4687"/>
    <w:rsid w:val="6DB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15CD655"/>
  <w15:docId w15:val="{248B0F86-C0AF-47DE-96C6-728A269D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EF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7EF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EC7EF1"/>
    <w:rPr>
      <w:rFonts w:ascii="Times New Roman" w:eastAsia="宋体" w:hAnsi="Times New Roman" w:cs="Times New Roman"/>
      <w:b/>
      <w:kern w:val="44"/>
      <w:sz w:val="24"/>
      <w:szCs w:val="24"/>
    </w:rPr>
  </w:style>
  <w:style w:type="paragraph" w:styleId="TOC3">
    <w:name w:val="toc 3"/>
    <w:basedOn w:val="a"/>
    <w:next w:val="a"/>
    <w:uiPriority w:val="99"/>
    <w:rsid w:val="00EC7EF1"/>
    <w:pPr>
      <w:ind w:leftChars="400" w:left="840"/>
    </w:pPr>
  </w:style>
  <w:style w:type="paragraph" w:styleId="a3">
    <w:name w:val="Balloon Text"/>
    <w:basedOn w:val="a"/>
    <w:link w:val="a4"/>
    <w:uiPriority w:val="99"/>
    <w:semiHidden/>
    <w:rsid w:val="00EC7EF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EC7EF1"/>
    <w:rPr>
      <w:rFonts w:ascii="Times New Roman" w:eastAsia="宋体" w:hAnsi="Times New Roman" w:cs="Times New Roman"/>
      <w:sz w:val="2"/>
    </w:rPr>
  </w:style>
  <w:style w:type="paragraph" w:styleId="a5">
    <w:name w:val="footer"/>
    <w:basedOn w:val="a"/>
    <w:link w:val="a6"/>
    <w:uiPriority w:val="99"/>
    <w:rsid w:val="00EC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C7EF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EC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EC7EF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uiPriority w:val="99"/>
    <w:rsid w:val="00EC7EF1"/>
  </w:style>
  <w:style w:type="paragraph" w:styleId="TOC2">
    <w:name w:val="toc 2"/>
    <w:basedOn w:val="a"/>
    <w:next w:val="a"/>
    <w:uiPriority w:val="99"/>
    <w:rsid w:val="00EC7EF1"/>
    <w:pPr>
      <w:ind w:leftChars="200" w:left="420"/>
    </w:pPr>
  </w:style>
  <w:style w:type="character" w:styleId="a9">
    <w:name w:val="Hyperlink"/>
    <w:uiPriority w:val="99"/>
    <w:rsid w:val="00EC7EF1"/>
    <w:rPr>
      <w:rFonts w:cs="Times New Roman"/>
      <w:color w:val="000000"/>
      <w:u w:val="none"/>
    </w:rPr>
  </w:style>
  <w:style w:type="table" w:styleId="aa">
    <w:name w:val="Table Grid"/>
    <w:basedOn w:val="a1"/>
    <w:uiPriority w:val="99"/>
    <w:rsid w:val="00EC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uiPriority w:val="99"/>
    <w:rsid w:val="00EC7EF1"/>
    <w:rPr>
      <w:kern w:val="2"/>
      <w:sz w:val="18"/>
    </w:rPr>
  </w:style>
  <w:style w:type="character" w:customStyle="1" w:styleId="Char0">
    <w:name w:val="页脚 Char"/>
    <w:uiPriority w:val="99"/>
    <w:rsid w:val="00EC7EF1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6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17</cp:revision>
  <dcterms:created xsi:type="dcterms:W3CDTF">2017-10-11T10:49:00Z</dcterms:created>
  <dcterms:modified xsi:type="dcterms:W3CDTF">2022-07-30T06:14:00Z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